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1180" cy="65278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5118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40pt;height:51.4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МИНИСТЕРСТВО ПРИРОДНЫХ РЕСУРСОВ И ЭКОЛОГИИ НОВОСИБИРСКОЙ ОБЛАСТИ</w:t>
      </w:r>
    </w:p>
    <w:p>
      <w:pPr>
        <w:pStyle w:val="ConsPlusTitle"/>
        <w:tabs>
          <w:tab w:val="left" w:pos="1125"/>
          <w:tab w:val="center" w:pos="496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ConsPlusTitle"/>
        <w:tabs>
          <w:tab w:val="left" w:pos="1125"/>
          <w:tab w:val="center" w:pos="49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закона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«О разграничении полномочий органов государственной власти Новосибирской области в сфере создания искусственных земельных участков на водных объектах, находящихся в федеральной собственности, или их части»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Проект закона Новосибирской области «О разграничении полномочий органов государственной власти Новосибирской области в сфере создания искусственных земельных участков на водных объектах, находящихся в федеральной собственности, или их части» (далее – проект закона) </w:t>
      </w:r>
      <w:r>
        <w:rPr>
          <w:rFonts w:ascii="Times New Roman" w:hAnsi="Times New Roman" w:eastAsia="Times New Roman"/>
          <w:sz w:val="28"/>
          <w:szCs w:val="28"/>
        </w:rPr>
        <w:t xml:space="preserve">разработан</w:t>
      </w:r>
      <w:r>
        <w:rPr>
          <w:rFonts w:ascii="Times New Roman" w:hAnsi="Times New Roman" w:eastAsia="Times New Roman"/>
          <w:sz w:val="28"/>
          <w:szCs w:val="28"/>
        </w:rPr>
        <w:t xml:space="preserve"> в соответствии с Федеральным законом от 19.07.2011 № 246-ФЗ «Об 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</w:t>
      </w:r>
      <w:r>
        <w:rPr>
          <w:rFonts w:ascii="Times New Roman" w:hAnsi="Times New Roman" w:eastAsia="Times New Roman"/>
          <w:sz w:val="28"/>
          <w:szCs w:val="28"/>
        </w:rPr>
        <w:t xml:space="preserve"> (далее – Федеральный закон)</w:t>
      </w:r>
      <w:r>
        <w:rPr>
          <w:rFonts w:ascii="Times New Roman" w:hAnsi="Times New Roman" w:eastAsia="Times New Roman"/>
          <w:sz w:val="28"/>
          <w:szCs w:val="28"/>
        </w:rPr>
        <w:t xml:space="preserve">, регулиру</w:t>
      </w:r>
      <w:r>
        <w:rPr>
          <w:rFonts w:ascii="Times New Roman" w:hAnsi="Times New Roman" w:eastAsia="Times New Roman"/>
          <w:sz w:val="28"/>
          <w:szCs w:val="28"/>
        </w:rPr>
        <w:t xml:space="preserve">ющим </w:t>
      </w:r>
      <w:r>
        <w:rPr>
          <w:rFonts w:ascii="Times New Roman" w:hAnsi="Times New Roman" w:eastAsia="Times New Roman"/>
          <w:sz w:val="28"/>
          <w:szCs w:val="28"/>
        </w:rPr>
        <w:t xml:space="preserve">правоотношения, связанные с созданием искусственных земельных участков на водных объектах, находящихся в федеральной собственности, или их части </w:t>
      </w:r>
      <w:r>
        <w:rPr>
          <w:rFonts w:ascii="Times New Roman" w:hAnsi="Times New Roman" w:eastAsia="Times New Roman"/>
          <w:sz w:val="28"/>
          <w:szCs w:val="28"/>
        </w:rPr>
        <w:t xml:space="preserve">(далее</w:t>
      </w:r>
      <w:r>
        <w:rPr>
          <w:rFonts w:ascii="Times New Roman" w:hAnsi="Times New Roman" w:eastAsia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/>
          <w:sz w:val="28"/>
          <w:szCs w:val="28"/>
        </w:rPr>
        <w:t xml:space="preserve">искусственный земельный участок)</w:t>
      </w:r>
      <w:r>
        <w:rPr>
          <w:rFonts w:ascii="Times New Roman" w:hAnsi="Times New Roman" w:eastAsia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Потребность </w:t>
      </w:r>
      <w:r>
        <w:rPr>
          <w:rFonts w:ascii="Times New Roman" w:hAnsi="Times New Roman" w:eastAsia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/>
          <w:sz w:val="28"/>
          <w:szCs w:val="28"/>
        </w:rPr>
        <w:t xml:space="preserve">правово</w:t>
      </w:r>
      <w:r>
        <w:rPr>
          <w:rFonts w:ascii="Times New Roman" w:hAnsi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/>
          <w:sz w:val="28"/>
          <w:szCs w:val="28"/>
        </w:rPr>
        <w:t xml:space="preserve"> регулировани</w:t>
      </w:r>
      <w:r>
        <w:rPr>
          <w:rFonts w:ascii="Times New Roman" w:hAnsi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/>
          <w:sz w:val="28"/>
          <w:szCs w:val="28"/>
        </w:rPr>
        <w:t xml:space="preserve"> указанной сфер</w:t>
      </w:r>
      <w:r>
        <w:rPr>
          <w:rFonts w:ascii="Times New Roman" w:hAnsi="Times New Roman" w:eastAsia="Times New Roman"/>
          <w:sz w:val="28"/>
          <w:szCs w:val="28"/>
        </w:rPr>
        <w:t xml:space="preserve">ы</w:t>
      </w:r>
      <w:r>
        <w:rPr>
          <w:rFonts w:ascii="Times New Roman" w:hAnsi="Times New Roman" w:eastAsia="Times New Roman"/>
          <w:sz w:val="28"/>
          <w:szCs w:val="28"/>
        </w:rPr>
        <w:t xml:space="preserve"> появилась в связи с обращениями заинтересованных лиц, готовых инвестировать денежные средства </w:t>
      </w:r>
      <w:r>
        <w:rPr>
          <w:rFonts w:ascii="Times New Roman" w:hAnsi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/>
          <w:sz w:val="28"/>
          <w:szCs w:val="28"/>
        </w:rPr>
        <w:t xml:space="preserve"> создани</w:t>
      </w:r>
      <w:r>
        <w:rPr>
          <w:rFonts w:ascii="Times New Roman" w:hAnsi="Times New Roman" w:eastAsia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/>
          <w:sz w:val="28"/>
          <w:szCs w:val="28"/>
        </w:rPr>
        <w:t xml:space="preserve"> соответствующих объектов </w:t>
      </w:r>
      <w:r>
        <w:rPr>
          <w:rFonts w:ascii="Times New Roman" w:hAnsi="Times New Roman" w:eastAsia="Times New Roman"/>
          <w:sz w:val="28"/>
          <w:szCs w:val="28"/>
        </w:rPr>
        <w:t xml:space="preserve">на территории</w:t>
      </w:r>
      <w:r>
        <w:rPr>
          <w:rFonts w:ascii="Times New Roman" w:hAnsi="Times New Roman" w:eastAsia="Times New Roman"/>
          <w:sz w:val="28"/>
          <w:szCs w:val="28"/>
        </w:rPr>
        <w:t xml:space="preserve"> Новосибирской области.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Проект</w:t>
      </w:r>
      <w:r>
        <w:rPr>
          <w:rFonts w:ascii="Times New Roman" w:hAnsi="Times New Roman" w:eastAsia="Times New Roman"/>
          <w:sz w:val="28"/>
          <w:szCs w:val="28"/>
        </w:rPr>
        <w:t xml:space="preserve">ом</w:t>
      </w:r>
      <w:r>
        <w:rPr>
          <w:rFonts w:ascii="Times New Roman" w:hAnsi="Times New Roman" w:eastAsia="Times New Roman"/>
          <w:sz w:val="28"/>
          <w:szCs w:val="28"/>
        </w:rPr>
        <w:t xml:space="preserve"> закона </w:t>
      </w:r>
      <w:r>
        <w:rPr>
          <w:rFonts w:ascii="Times New Roman" w:hAnsi="Times New Roman" w:eastAsia="Times New Roman"/>
          <w:sz w:val="28"/>
          <w:szCs w:val="28"/>
        </w:rPr>
        <w:t xml:space="preserve">предлагается разграничить </w:t>
      </w:r>
      <w:r>
        <w:rPr>
          <w:rFonts w:ascii="Times New Roman" w:hAnsi="Times New Roman" w:eastAsia="Times New Roman"/>
          <w:sz w:val="28"/>
          <w:szCs w:val="28"/>
        </w:rPr>
        <w:t xml:space="preserve">полномочия органов государственной власти Новосибирской области в сфере создания искусственных земельных участков для целей строительства на них зданий, сооружений и (или) их комплексного освоения в целях строительства.</w:t>
      </w:r>
    </w:p>
    <w:p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При </w:t>
      </w:r>
      <w:r>
        <w:rPr>
          <w:rFonts w:ascii="Times New Roman" w:hAnsi="Times New Roman" w:eastAsia="Times New Roman"/>
          <w:sz w:val="28"/>
          <w:szCs w:val="28"/>
        </w:rPr>
        <w:t xml:space="preserve">разграничении</w:t>
      </w:r>
      <w:r>
        <w:rPr>
          <w:rFonts w:ascii="Times New Roman" w:hAnsi="Times New Roman" w:eastAsia="Times New Roman"/>
          <w:sz w:val="28"/>
          <w:szCs w:val="28"/>
        </w:rPr>
        <w:t xml:space="preserve"> полномочий, закрепляемых за областным исполнительным органом Новосибирской области, уполномоченным в области водных отношений, и областным исполнительным органом Новосибирской области, уполномоченным в сфере градостроительной деятельности, учитывались специфика их деятельности и уже имеющиеся полномочия в отраслевой сфере деятельности.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</w:rPr>
        <w:t xml:space="preserve">За областным исполнительным органом Новосибирской области, уполномоченным в области водных отношений</w:t>
      </w:r>
      <w:r>
        <w:rPr>
          <w:rFonts w:ascii="Times New Roman" w:hAnsi="Times New Roman" w:eastAsia="Times New Roman"/>
          <w:sz w:val="28"/>
          <w:szCs w:val="28"/>
        </w:rPr>
        <w:t xml:space="preserve">, проектом закона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предлагается </w:t>
      </w:r>
      <w:r>
        <w:rPr>
          <w:rFonts w:ascii="Times New Roman" w:hAnsi="Times New Roman" w:eastAsia="Times New Roman"/>
          <w:sz w:val="28"/>
          <w:szCs w:val="28"/>
        </w:rPr>
        <w:t xml:space="preserve">закрепить полномочия по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согласовани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проекта разрешения на создание на территории Новосибирской области ис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кусственного земельного участка,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выдач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разрешения на создание искусственного земельного участка в случае, если создается искусственный земельный участок на водном объекте, который находится в федеральной собственности и расположен на территории Новосибирской области, заключени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договора о создании искусственного земельного участка, выдач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разрешения на проведение работ по созданию искусственного земельного участка</w:t>
      </w:r>
      <w:bookmarkStart w:id="0" w:name="undefined"/>
      <w:bookmarkEnd w:id="0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случае создания искусственного земельного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участка на территориях двух и более муниципальных образований Новосибирской области (муниципальных округов, городских округов, муниципальных районов) или отказ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выдаче такого разре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шения с указанием причин отказа,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проведени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проверки соответствия проектной документации искусственного земельного участка разрешению на его создание в случае создания искусственного земельного участка на территориях двух и более муниципальных образований Новосибирской области (муниципальных округов, городских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округов, муниципальных районов),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выдач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разрешения на строительство размещаемого на искусственном земельном участке объекта капитального строительства в случае создания искусственного земельного участка на территориях двух и более муниципальных образований Новосибирской области (муниципальных округов, городских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округов, муниципальных районов),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выдач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разрешения на ввод в эксплуатацию искусственного земельного участка в случае создания искусственного земельного участка на территориях двух и более муниципальных образований Новосибирской области (муниципальных округов, городских округов, муниципальных районов) или отказ в выдаче такого разрешения с указанием причин отказа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др</w:t>
      </w:r>
      <w:bookmarkStart w:id="1" w:name="_GoBack"/>
      <w:bookmarkEnd w:id="1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</w:p>
    <w:p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За областным исполнительным органом Новосибирской области, уполномоченным в сфере градостроительной деятельности, </w:t>
      </w:r>
      <w:r>
        <w:rPr>
          <w:rFonts w:ascii="Times New Roman" w:hAnsi="Times New Roman" w:eastAsia="Times New Roman"/>
          <w:sz w:val="28"/>
          <w:szCs w:val="28"/>
        </w:rPr>
        <w:t xml:space="preserve">проектом закона предлагается </w:t>
      </w:r>
      <w:r>
        <w:rPr>
          <w:rFonts w:ascii="Times New Roman" w:hAnsi="Times New Roman" w:eastAsia="Times New Roman"/>
          <w:sz w:val="28"/>
          <w:szCs w:val="28"/>
        </w:rPr>
        <w:t xml:space="preserve">закрепить </w:t>
      </w:r>
      <w:r>
        <w:rPr>
          <w:rFonts w:ascii="Times New Roman" w:hAnsi="Times New Roman" w:eastAsia="Times New Roman"/>
          <w:sz w:val="28"/>
          <w:szCs w:val="28"/>
        </w:rPr>
        <w:t xml:space="preserve">полномочие </w:t>
      </w:r>
      <w:r>
        <w:rPr>
          <w:rFonts w:ascii="Times New Roman" w:hAnsi="Times New Roman" w:eastAsia="Times New Roman"/>
          <w:sz w:val="28"/>
          <w:szCs w:val="28"/>
        </w:rPr>
        <w:t xml:space="preserve">по утверждению документации по планировке территории в случае, если данный орган является инициатором создания искусственного земельного участка на водном объекте, находящемся в федеральной собственности, либо в случае, если инициатором создания искусственного земельного участка является физическое лицо, в том числе индивидуальный предприниматель, или юридическое лицо.</w:t>
      </w:r>
    </w:p>
    <w:p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Проект закона состоит из четырех статей.</w:t>
      </w:r>
    </w:p>
    <w:p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Статьями </w:t>
      </w:r>
      <w:r>
        <w:rPr>
          <w:rFonts w:ascii="Times New Roman" w:hAnsi="Times New Roman" w:eastAsia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/>
          <w:sz w:val="28"/>
          <w:szCs w:val="28"/>
        </w:rPr>
        <w:t xml:space="preserve">3 разграничивают</w:t>
      </w:r>
      <w:r>
        <w:rPr>
          <w:rFonts w:ascii="Times New Roman" w:hAnsi="Times New Roman" w:eastAsia="Times New Roman"/>
          <w:sz w:val="28"/>
          <w:szCs w:val="28"/>
        </w:rPr>
        <w:t xml:space="preserve">ся</w:t>
      </w:r>
      <w:r>
        <w:rPr>
          <w:rFonts w:ascii="Times New Roman" w:hAnsi="Times New Roman" w:eastAsia="Times New Roman"/>
          <w:sz w:val="28"/>
          <w:szCs w:val="28"/>
        </w:rPr>
        <w:t xml:space="preserve"> полномочия органов государственной власти Новосибирской области.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Статьей 4 устанавливается порядок вступления закона Новосибирской области в силу.</w:t>
      </w:r>
    </w:p>
    <w:p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актов.</w:t>
      </w:r>
    </w:p>
    <w:p>
      <w:pPr>
        <w:pStyle w:val="a4"/>
        <w:widowControl w:val="off"/>
        <w:jc w:val="both"/>
        <w:rPr>
          <w:rFonts w:ascii="Times New Roman" w:hAnsi="Times New Roman"/>
          <w:sz w:val="28"/>
          <w:szCs w:val="28"/>
        </w:rPr>
      </w:pPr>
    </w:p>
    <w:p>
      <w:pPr>
        <w:pStyle w:val="a4"/>
        <w:widowControl w:val="off"/>
        <w:jc w:val="both"/>
        <w:rPr>
          <w:rFonts w:ascii="Times New Roman" w:hAnsi="Times New Roman"/>
          <w:sz w:val="28"/>
          <w:szCs w:val="28"/>
        </w:rPr>
      </w:pPr>
    </w:p>
    <w:p>
      <w:pPr>
        <w:pStyle w:val="a4"/>
        <w:widowControl w:val="off"/>
        <w:jc w:val="both"/>
        <w:rPr>
          <w:rFonts w:ascii="Times New Roman" w:hAnsi="Times New Roman"/>
          <w:sz w:val="28"/>
          <w:szCs w:val="28"/>
        </w:rPr>
      </w:pPr>
    </w:p>
    <w:p>
      <w:pPr>
        <w:pStyle w:val="a4"/>
        <w:widowControl w:val="o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Е.А. Шестернин</w:t>
      </w:r>
    </w:p>
    <w:sectPr>
      <w:headerReference w:type="default" r:id="rId8"/>
      <w:pgSz w:w="11906" w:h="16838"/>
      <w:pgMar w:top="567" w:right="567" w:bottom="1134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b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</w:p>
  <w:p>
    <w:pPr>
      <w:pStyle w:val="ab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HeaderChar" w:customStyle="1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FooterChar" w:customStyle="1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f0">
    <w:name w:val="Table Grid"/>
    <w:basedOn w:val="a1"/>
    <w:uiPriority w:val="59"/>
    <w:tblPr/>
  </w:style>
  <w:style w:type="table" w:styleId="TableGridLight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styleId="af3" w:customStyle="1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styleId="af6" w:customStyle="1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ConsPlusNormal" w:customStyle="1">
    <w:name w:val="ConsPlusNormal"/>
    <w:rPr>
      <w:rFonts w:ascii="Times New Roman" w:hAnsi="Times New Roman"/>
      <w:sz w:val="28"/>
      <w:szCs w:val="28"/>
      <w:lang w:eastAsia="en-US"/>
    </w:r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apple-converted-space" w:customStyle="1">
    <w:name w:val="apple-converted-space"/>
    <w:basedOn w:val="a0"/>
  </w:style>
  <w:style w:type="paragraph" w:styleId="s9" w:customStyle="1">
    <w:name w:val="s_9"/>
    <w:basedOn w:val="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ac" w:customStyle="1">
    <w:name w:val="Верхний колонтитул Знак"/>
    <w:basedOn w:val="a0"/>
    <w:link w:val="ab"/>
    <w:uiPriority w:val="99"/>
  </w:style>
  <w:style w:type="character" w:styleId="ae" w:customStyle="1">
    <w:name w:val="Нижний колонтитул Знак"/>
    <w:basedOn w:val="a0"/>
    <w:link w:val="ad"/>
    <w:uiPriority w:val="99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afc" w:customStyle="1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ConsPlusTitle" w:customStyle="1">
    <w:name w:val="ConsPlusTitle"/>
    <w:pPr>
      <w:widowControl w:val="off"/>
    </w:pPr>
    <w:rPr>
      <w:rFonts w:ascii="Arial" w:hAnsi="Arial" w:eastAsia="Times New Roman" w:cs="Arial"/>
      <w:b/>
      <w:bCs/>
      <w:lang w:eastAsia="ru-RU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styleId="afe" w:customStyle="1">
    <w:name w:val="Текст примечания Знак"/>
    <w:basedOn w:val="a0"/>
    <w:link w:val="afd"/>
    <w:uiPriority w:val="99"/>
    <w:semiHidden/>
    <w:rPr>
      <w:lang w:eastAsia="en-US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566CA-E6DD-4CF5-A5FB-EBB4B54AA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haracters>4433</Characters>
  <CharactersWithSpaces>5200</CharactersWithSpaces>
  <Company>Microsoft</Company>
  <DocSecurity>0</DocSecurity>
  <HyperlinksChanged>false</HyperlinksChanged>
  <Lines>36</Lines>
  <LinksUpToDate>false</LinksUpToDate>
  <Pages>2</Pages>
  <Paragraphs>10</Paragraphs>
  <ScaleCrop>false</ScaleCrop>
  <SharedDoc>false</SharedDoc>
  <Template>Normal</Template>
  <TotalTime>21</TotalTime>
  <Words>777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mns</dc:creator>
  <cp:lastModifiedBy>Лебедев Сергей Александрович</cp:lastModifiedBy>
  <cp:revision>6</cp:revision>
  <cp:lastPrinted>2024-11-02T06:04:00Z</cp:lastPrinted>
  <dcterms:created xsi:type="dcterms:W3CDTF">2024-11-02T06:04:00Z</dcterms:created>
  <dcterms:modified xsi:type="dcterms:W3CDTF">2024-11-07T05:49:00Z</dcterms:modified>
  <cp:version>983040</cp:version>
</cp:coreProperties>
</file>